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33DC2" w14:textId="20DD644F" w:rsidR="00682CF0" w:rsidRPr="00A037FC" w:rsidRDefault="00682CF0" w:rsidP="00682CF0">
      <w:pPr>
        <w:pStyle w:val="3GPPHeader"/>
        <w:spacing w:after="60"/>
        <w:rPr>
          <w:sz w:val="32"/>
          <w:lang w:val="sv-SE"/>
        </w:rPr>
      </w:pPr>
      <w:bookmarkStart w:id="0" w:name="_Hlk127388451"/>
      <w:r w:rsidRPr="00A037FC">
        <w:rPr>
          <w:lang w:val="sv-SE"/>
        </w:rPr>
        <w:t>3GPP TSG RAN WG1#113</w:t>
      </w:r>
      <w:r w:rsidRPr="00A037FC">
        <w:rPr>
          <w:lang w:val="sv-SE"/>
        </w:rPr>
        <w:tab/>
      </w:r>
      <w:r w:rsidR="006C6030">
        <w:rPr>
          <w:lang w:val="sv-SE"/>
        </w:rPr>
        <w:t>R1-2305571</w:t>
      </w:r>
    </w:p>
    <w:p w14:paraId="2755255A" w14:textId="77777777" w:rsidR="00682CF0" w:rsidRPr="00D36D60" w:rsidRDefault="00682CF0" w:rsidP="00682CF0">
      <w:pPr>
        <w:pStyle w:val="3GPPHeader"/>
        <w:rPr>
          <w:bCs/>
          <w:lang w:val="en-GB"/>
        </w:rPr>
      </w:pPr>
      <w:r w:rsidRPr="00D36D60">
        <w:rPr>
          <w:bCs/>
          <w:lang w:val="en-GB"/>
        </w:rPr>
        <w:t>Incheon, Korea, May 22</w:t>
      </w:r>
      <w:r w:rsidRPr="00D36D60">
        <w:rPr>
          <w:bCs/>
          <w:vertAlign w:val="superscript"/>
          <w:lang w:val="en-GB"/>
        </w:rPr>
        <w:t>nd</w:t>
      </w:r>
      <w:r w:rsidRPr="00D36D60">
        <w:rPr>
          <w:bCs/>
          <w:lang w:val="en-GB"/>
        </w:rPr>
        <w:t xml:space="preserve"> – May 26</w:t>
      </w:r>
      <w:r w:rsidRPr="00D36D60">
        <w:rPr>
          <w:bCs/>
          <w:vertAlign w:val="superscript"/>
          <w:lang w:val="en-GB"/>
        </w:rPr>
        <w:t>th</w:t>
      </w:r>
      <w:r w:rsidRPr="00D36D60">
        <w:rPr>
          <w:bCs/>
          <w:lang w:val="en-GB"/>
        </w:rPr>
        <w:t>, 2023</w:t>
      </w:r>
    </w:p>
    <w:p w14:paraId="0886BA80" w14:textId="77777777" w:rsidR="00682CF0" w:rsidRDefault="00682CF0" w:rsidP="00682CF0">
      <w:pPr>
        <w:pStyle w:val="3GPPHeader"/>
        <w:spacing w:after="0"/>
        <w:rPr>
          <w:rFonts w:cs="Arial"/>
          <w:sz w:val="22"/>
        </w:rPr>
      </w:pPr>
    </w:p>
    <w:p w14:paraId="33AD7AF2" w14:textId="1FC16BB2" w:rsidR="00682CF0" w:rsidRPr="0052593D" w:rsidRDefault="00682CF0" w:rsidP="00682CF0">
      <w:pPr>
        <w:pStyle w:val="3GPPHeader"/>
        <w:spacing w:after="0"/>
        <w:rPr>
          <w:rFonts w:cs="Arial"/>
          <w:sz w:val="22"/>
        </w:rPr>
      </w:pPr>
      <w:r w:rsidRPr="00D51B22">
        <w:rPr>
          <w:rFonts w:cs="Arial"/>
          <w:sz w:val="22"/>
        </w:rPr>
        <w:t>Agenda Item:</w:t>
      </w:r>
      <w:r w:rsidRPr="00D51B22">
        <w:rPr>
          <w:rFonts w:cs="Arial"/>
          <w:sz w:val="22"/>
        </w:rPr>
        <w:tab/>
      </w:r>
      <w:r>
        <w:rPr>
          <w:rFonts w:cs="Arial"/>
        </w:rPr>
        <w:t>5</w:t>
      </w:r>
    </w:p>
    <w:p w14:paraId="21526378" w14:textId="77777777" w:rsidR="00682CF0" w:rsidRPr="00395743" w:rsidRDefault="00682CF0" w:rsidP="00682CF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70BEA5FE" w14:textId="0019EB78" w:rsidR="00682CF0" w:rsidRPr="005A1E0C" w:rsidRDefault="00682CF0" w:rsidP="00682CF0">
      <w:pPr>
        <w:pStyle w:val="3GPPHeader"/>
        <w:spacing w:after="0"/>
        <w:rPr>
          <w:rFonts w:cs="Arial"/>
          <w:sz w:val="22"/>
        </w:rPr>
      </w:pPr>
      <w:r w:rsidRPr="005A1E0C">
        <w:rPr>
          <w:rFonts w:cs="Arial"/>
          <w:sz w:val="22"/>
        </w:rPr>
        <w:t>Title:</w:t>
      </w:r>
      <w:r w:rsidRPr="005A1E0C">
        <w:rPr>
          <w:rFonts w:cs="Arial"/>
          <w:sz w:val="22"/>
        </w:rPr>
        <w:tab/>
      </w:r>
      <w:r w:rsidRPr="005A1E0C">
        <w:rPr>
          <w:sz w:val="22"/>
        </w:rPr>
        <w:t xml:space="preserve">Discussion on </w:t>
      </w:r>
      <w:r w:rsidR="00244717">
        <w:rPr>
          <w:sz w:val="22"/>
        </w:rPr>
        <w:t xml:space="preserve">RAN2 </w:t>
      </w:r>
      <w:r w:rsidRPr="005A1E0C">
        <w:rPr>
          <w:sz w:val="22"/>
        </w:rPr>
        <w:t>LS on Cell DTX/DRX activation/deactivation</w:t>
      </w:r>
    </w:p>
    <w:p w14:paraId="5CF2F257" w14:textId="77777777" w:rsidR="00682CF0" w:rsidRPr="005D6794" w:rsidRDefault="00682CF0" w:rsidP="00682CF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6F47D130" w14:textId="77777777" w:rsidR="00682CF0" w:rsidRPr="00395743" w:rsidRDefault="00682CF0" w:rsidP="00682CF0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511EA788" w14:textId="45E17C7B" w:rsidR="00682CF0" w:rsidRDefault="00682CF0" w:rsidP="00682CF0">
      <w:pPr>
        <w:pStyle w:val="BodyText"/>
      </w:pPr>
      <w:r>
        <w:t xml:space="preserve">In this contribution, we discuss the incoming LS from RAN2 [1] for cell DTX/DRX activation/deactivation </w:t>
      </w:r>
      <w:r w:rsidR="00D54918">
        <w:t xml:space="preserve">and make some </w:t>
      </w:r>
      <w:r w:rsidR="00DC2AB8">
        <w:t>suggestions for responding to the LS</w:t>
      </w:r>
      <w:r>
        <w:t>.</w:t>
      </w:r>
    </w:p>
    <w:p w14:paraId="7920FC59" w14:textId="77777777" w:rsidR="00682CF0" w:rsidRPr="00CD25D2" w:rsidRDefault="00682CF0" w:rsidP="00682CF0">
      <w:pPr>
        <w:pStyle w:val="Heading1"/>
        <w:rPr>
          <w:rFonts w:cs="Arial"/>
          <w:b/>
          <w:bCs/>
          <w:lang w:val="en-US"/>
        </w:rPr>
      </w:pPr>
      <w:r w:rsidRPr="00CD25D2">
        <w:rPr>
          <w:rFonts w:cs="Arial"/>
          <w:b/>
          <w:bCs/>
          <w:lang w:val="en-US"/>
        </w:rPr>
        <w:t>Discussion</w:t>
      </w:r>
    </w:p>
    <w:p w14:paraId="382D219B" w14:textId="4F4608D1" w:rsidR="00682CF0" w:rsidRDefault="00682CF0" w:rsidP="00682CF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RAN2 has sent an LS </w:t>
      </w:r>
      <w:r>
        <w:rPr>
          <w:rFonts w:ascii="Arial" w:hAnsi="Arial" w:cs="Arial"/>
          <w:bCs/>
        </w:rPr>
        <w:t>on Cell DTX/DRX activation/deactivation [2]</w:t>
      </w:r>
      <w:r w:rsidR="00090413">
        <w:rPr>
          <w:rFonts w:ascii="Arial" w:hAnsi="Arial" w:cs="Arial"/>
          <w:bCs/>
        </w:rPr>
        <w:t xml:space="preserve"> with following action</w:t>
      </w:r>
      <w:r>
        <w:rPr>
          <w:rFonts w:ascii="Arial" w:hAnsi="Arial"/>
        </w:rPr>
        <w:t>.</w:t>
      </w:r>
    </w:p>
    <w:p w14:paraId="375F4373" w14:textId="443F2477" w:rsidR="00090413" w:rsidRDefault="00090413" w:rsidP="00682CF0">
      <w:pPr>
        <w:jc w:val="both"/>
        <w:rPr>
          <w:rFonts w:ascii="Arial" w:hAnsi="Arial"/>
        </w:rPr>
      </w:pPr>
      <w:r>
        <w:rPr>
          <w:noProof/>
        </w:rPr>
        <w:drawing>
          <wp:inline distT="0" distB="0" distL="0" distR="0" wp14:anchorId="762C1B73" wp14:editId="590C7DE1">
            <wp:extent cx="6210935" cy="1072515"/>
            <wp:effectExtent l="19050" t="19050" r="18415" b="133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10725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70107A3" w14:textId="2B87D42C" w:rsidR="00090413" w:rsidRDefault="00090413" w:rsidP="00682CF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RAN2 asks about the feasibility and reliability of using dedicated and group common L1 signaling. </w:t>
      </w:r>
    </w:p>
    <w:p w14:paraId="1068AB7F" w14:textId="67A7DD85" w:rsidR="00090413" w:rsidRDefault="00090413" w:rsidP="00682CF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RAN1 </w:t>
      </w:r>
      <w:r w:rsidR="00D54918">
        <w:rPr>
          <w:rFonts w:ascii="Arial" w:hAnsi="Arial"/>
        </w:rPr>
        <w:t>agreed to the following in last meeting.</w:t>
      </w:r>
    </w:p>
    <w:p w14:paraId="4602FA6A" w14:textId="77777777" w:rsidR="00DC0820" w:rsidRPr="00DC0820" w:rsidRDefault="00DC0820" w:rsidP="00DC0820">
      <w:pPr>
        <w:spacing w:after="0" w:line="240" w:lineRule="auto"/>
        <w:rPr>
          <w:rFonts w:ascii="Times" w:eastAsia="Batang" w:hAnsi="Times" w:cs="Times"/>
          <w:b/>
          <w:bCs/>
          <w:i/>
          <w:iCs/>
          <w:sz w:val="20"/>
          <w:szCs w:val="24"/>
          <w:highlight w:val="darkYellow"/>
          <w:lang w:val="en-GB" w:eastAsia="x-none"/>
        </w:rPr>
      </w:pPr>
      <w:r w:rsidRPr="000B1EA7">
        <w:rPr>
          <w:rFonts w:ascii="Times" w:eastAsia="Batang" w:hAnsi="Times" w:cs="Times"/>
          <w:b/>
          <w:bCs/>
          <w:sz w:val="20"/>
          <w:szCs w:val="24"/>
          <w:highlight w:val="darkYellow"/>
          <w:lang w:val="en-GB" w:eastAsia="x-none"/>
        </w:rPr>
        <w:t>Working Assumption</w:t>
      </w:r>
    </w:p>
    <w:p w14:paraId="7B4DA14D" w14:textId="77777777" w:rsidR="00DC0820" w:rsidRPr="00DC0820" w:rsidRDefault="00DC0820" w:rsidP="00DC0820">
      <w:pPr>
        <w:suppressAutoHyphens/>
        <w:spacing w:after="0" w:line="240" w:lineRule="auto"/>
        <w:jc w:val="both"/>
        <w:rPr>
          <w:rFonts w:ascii="Times New Roman" w:eastAsia="Batang" w:hAnsi="Times New Roman" w:cs="Times New Roman"/>
          <w:i/>
          <w:iCs/>
          <w:sz w:val="20"/>
          <w:szCs w:val="20"/>
          <w:lang w:val="en-GB" w:eastAsia="zh-CN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Support of L1 signaling at least for activation/deactivation of a cell DTX and/or DRX configuration is feasible (e.g., in terms of enabling/disenabling the feature) from RAN1 perspective.</w:t>
      </w:r>
    </w:p>
    <w:p w14:paraId="6C31FD48" w14:textId="77777777" w:rsidR="00DC0820" w:rsidRPr="00DC0820" w:rsidRDefault="00DC0820" w:rsidP="00DC0820">
      <w:pPr>
        <w:numPr>
          <w:ilvl w:val="0"/>
          <w:numId w:val="11"/>
        </w:numPr>
        <w:suppressAutoHyphens/>
        <w:overflowPunct w:val="0"/>
        <w:spacing w:after="0" w:line="240" w:lineRule="auto"/>
        <w:rPr>
          <w:rFonts w:ascii="Times" w:eastAsia="SimSun" w:hAnsi="Times" w:cs="Times New Roman"/>
          <w:i/>
          <w:iCs/>
          <w:sz w:val="20"/>
          <w:szCs w:val="20"/>
          <w:lang w:val="en-GB" w:eastAsia="zh-CN"/>
        </w:rPr>
      </w:pPr>
      <w:r w:rsidRPr="00DC0820">
        <w:rPr>
          <w:rFonts w:ascii="Times" w:eastAsia="SimSun" w:hAnsi="Times" w:cs="Times New Roman"/>
          <w:i/>
          <w:iCs/>
          <w:sz w:val="20"/>
          <w:szCs w:val="20"/>
          <w:lang w:val="en-GB" w:eastAsia="zh-CN"/>
        </w:rPr>
        <w:t>This does not imply that L1 activation/deactivation is supported in Rel-18\</w:t>
      </w:r>
    </w:p>
    <w:p w14:paraId="54CEAC2A" w14:textId="77777777" w:rsidR="00DC0820" w:rsidRPr="00DC0820" w:rsidRDefault="00DC0820" w:rsidP="00DC0820">
      <w:pPr>
        <w:numPr>
          <w:ilvl w:val="0"/>
          <w:numId w:val="11"/>
        </w:numPr>
        <w:suppressAutoHyphens/>
        <w:overflowPunct w:val="0"/>
        <w:spacing w:after="0" w:line="240" w:lineRule="auto"/>
        <w:rPr>
          <w:rFonts w:ascii="Times" w:eastAsia="SimSun" w:hAnsi="Times" w:cs="Times New Roman"/>
          <w:i/>
          <w:iCs/>
          <w:sz w:val="20"/>
          <w:szCs w:val="20"/>
          <w:lang w:val="en-GB" w:eastAsia="zh-CN"/>
        </w:rPr>
      </w:pPr>
      <w:r w:rsidRPr="00DC0820">
        <w:rPr>
          <w:rFonts w:ascii="Times" w:eastAsia="SimSun" w:hAnsi="Times" w:cs="Times New Roman"/>
          <w:i/>
          <w:iCs/>
          <w:sz w:val="20"/>
          <w:szCs w:val="20"/>
          <w:lang w:val="en-GB" w:eastAsia="zh-CN"/>
        </w:rPr>
        <w:t>Note: Reliability, overhead, and benefits are FFS</w:t>
      </w:r>
    </w:p>
    <w:p w14:paraId="3801FD3C" w14:textId="77777777" w:rsidR="000312E3" w:rsidRDefault="000312E3" w:rsidP="00DC0820">
      <w:pPr>
        <w:spacing w:after="0" w:line="240" w:lineRule="auto"/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</w:pPr>
    </w:p>
    <w:p w14:paraId="4887956E" w14:textId="399C309E" w:rsidR="00DC0820" w:rsidRPr="000B1EA7" w:rsidRDefault="00DC0820" w:rsidP="00DC0820">
      <w:pPr>
        <w:spacing w:after="0" w:line="240" w:lineRule="auto"/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</w:pPr>
      <w:r w:rsidRPr="000B1EA7">
        <w:rPr>
          <w:rFonts w:ascii="Times" w:eastAsia="Batang" w:hAnsi="Times" w:cs="Times"/>
          <w:b/>
          <w:sz w:val="20"/>
          <w:szCs w:val="24"/>
          <w:highlight w:val="green"/>
          <w:lang w:val="en-GB" w:eastAsia="x-none"/>
        </w:rPr>
        <w:t>Agreement</w:t>
      </w:r>
    </w:p>
    <w:p w14:paraId="147C6917" w14:textId="77777777" w:rsidR="00DC0820" w:rsidRPr="00DC0820" w:rsidRDefault="00DC0820" w:rsidP="00DC0820">
      <w:p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Study L1 signalling for enhancing cell DTX/DRX including activation/deactivation for a single configuration which will have the following characteristics:</w:t>
      </w:r>
    </w:p>
    <w:p w14:paraId="03D85FD1" w14:textId="77777777" w:rsidR="00DC0820" w:rsidRPr="00DC0820" w:rsidRDefault="00DC0820" w:rsidP="00DC0820">
      <w:pPr>
        <w:numPr>
          <w:ilvl w:val="0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PDCCH based signaling</w:t>
      </w:r>
    </w:p>
    <w:p w14:paraId="1EE07AD8" w14:textId="77777777" w:rsidR="00DC0820" w:rsidRPr="00DC0820" w:rsidRDefault="00DC0820" w:rsidP="00DC0820">
      <w:pPr>
        <w:numPr>
          <w:ilvl w:val="1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FFS: Whether enhancing legacy DCI or introducing new DCI</w:t>
      </w:r>
    </w:p>
    <w:p w14:paraId="24D56080" w14:textId="77777777" w:rsidR="00DC0820" w:rsidRPr="00DC0820" w:rsidRDefault="00DC0820" w:rsidP="00DC0820">
      <w:pPr>
        <w:numPr>
          <w:ilvl w:val="1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FFS: DCI content</w:t>
      </w:r>
    </w:p>
    <w:p w14:paraId="28E3D289" w14:textId="77777777" w:rsidR="00DC0820" w:rsidRPr="00DC0820" w:rsidRDefault="00DC0820" w:rsidP="00DC0820">
      <w:pPr>
        <w:numPr>
          <w:ilvl w:val="1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FFS: Whether L1 signaling is UE specific DCI or group common DCI</w:t>
      </w:r>
    </w:p>
    <w:p w14:paraId="4710A8E9" w14:textId="77777777" w:rsidR="00DC0820" w:rsidRPr="00DC0820" w:rsidRDefault="00DC0820" w:rsidP="00DC0820">
      <w:pPr>
        <w:numPr>
          <w:ilvl w:val="1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FFS: Timer or validity duration based activation/deactivation of cell DTX/DRX</w:t>
      </w:r>
    </w:p>
    <w:p w14:paraId="652CD5FF" w14:textId="77777777" w:rsidR="00DC0820" w:rsidRPr="00DC0820" w:rsidRDefault="00DC0820" w:rsidP="00DC0820">
      <w:pPr>
        <w:numPr>
          <w:ilvl w:val="1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FFS: whether to specify a reference time for activation/deactivation of cell DTX/DRX </w:t>
      </w:r>
    </w:p>
    <w:p w14:paraId="041A924C" w14:textId="77777777" w:rsidR="00DC0820" w:rsidRPr="00DC0820" w:rsidRDefault="00DC0820" w:rsidP="00DC0820">
      <w:pPr>
        <w:numPr>
          <w:ilvl w:val="1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FFS: If multiple Cell DTX/DRX patterns are to be supported</w:t>
      </w:r>
    </w:p>
    <w:p w14:paraId="0A6B2E5A" w14:textId="77777777" w:rsidR="00DC0820" w:rsidRPr="00DC0820" w:rsidRDefault="00DC0820" w:rsidP="00DC0820">
      <w:pPr>
        <w:numPr>
          <w:ilvl w:val="0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 on detailed UE behavior upon reception of L1 signaling at least including application delay</w:t>
      </w:r>
    </w:p>
    <w:p w14:paraId="4CDDE3C6" w14:textId="77777777" w:rsidR="00DC0820" w:rsidRPr="00DC0820" w:rsidRDefault="00DC0820" w:rsidP="00DC0820">
      <w:pPr>
        <w:numPr>
          <w:ilvl w:val="0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FFS </w:t>
      </w:r>
      <w:r w:rsidRPr="00DC0820">
        <w:rPr>
          <w:rFonts w:ascii="Times New Roman" w:eastAsia="Batang" w:hAnsi="Times New Roman" w:cs="Times New Roman" w:hint="eastAsia"/>
          <w:i/>
          <w:iCs/>
          <w:sz w:val="20"/>
          <w:szCs w:val="20"/>
          <w:lang w:val="en-GB" w:eastAsia="zh-CN"/>
        </w:rPr>
        <w:t>how to</w:t>
      </w: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DC0820">
        <w:rPr>
          <w:rFonts w:ascii="Times New Roman" w:eastAsia="Batang" w:hAnsi="Times New Roman" w:cs="Times New Roman" w:hint="eastAsia"/>
          <w:i/>
          <w:iCs/>
          <w:sz w:val="20"/>
          <w:szCs w:val="20"/>
          <w:lang w:val="en-GB" w:eastAsia="zh-CN"/>
        </w:rPr>
        <w:t xml:space="preserve">guarantee reliability of the </w:t>
      </w: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L1 signaling</w:t>
      </w:r>
    </w:p>
    <w:p w14:paraId="7777FBCB" w14:textId="77777777" w:rsidR="00DC0820" w:rsidRPr="00DC0820" w:rsidRDefault="00DC0820" w:rsidP="00DC0820">
      <w:pPr>
        <w:numPr>
          <w:ilvl w:val="0"/>
          <w:numId w:val="11"/>
        </w:numPr>
        <w:suppressAutoHyphens/>
        <w:spacing w:after="0" w:line="254" w:lineRule="auto"/>
        <w:jc w:val="both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C0820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FFS whether the L1 signal can be monitored in non-active periods.</w:t>
      </w:r>
    </w:p>
    <w:p w14:paraId="24FE3D6F" w14:textId="043D792C" w:rsidR="00DC0820" w:rsidRDefault="00202FF6" w:rsidP="00682CF0">
      <w:pPr>
        <w:jc w:val="both"/>
        <w:rPr>
          <w:rFonts w:ascii="Arial" w:hAnsi="Arial"/>
        </w:rPr>
      </w:pPr>
      <w:r>
        <w:rPr>
          <w:rFonts w:ascii="Arial" w:hAnsi="Arial"/>
        </w:rPr>
        <w:t>Regarding feasibility, g</w:t>
      </w:r>
      <w:r w:rsidR="00DC0820">
        <w:rPr>
          <w:rFonts w:ascii="Arial" w:hAnsi="Arial"/>
        </w:rPr>
        <w:t xml:space="preserve">iven that RAN1 is studying PDCCH-based L1 signaling which can be UE-specific or group-common and </w:t>
      </w:r>
      <w:r w:rsidR="00D54918">
        <w:rPr>
          <w:rFonts w:ascii="Arial" w:hAnsi="Arial"/>
        </w:rPr>
        <w:t xml:space="preserve">the above </w:t>
      </w:r>
      <w:r w:rsidR="00DC0820">
        <w:rPr>
          <w:rFonts w:ascii="Arial" w:hAnsi="Arial"/>
        </w:rPr>
        <w:t xml:space="preserve">working assumption, both </w:t>
      </w:r>
      <w:r w:rsidR="00E5778F">
        <w:rPr>
          <w:rFonts w:ascii="Arial" w:hAnsi="Arial"/>
        </w:rPr>
        <w:t>are</w:t>
      </w:r>
      <w:r w:rsidR="00DC0820">
        <w:rPr>
          <w:rFonts w:ascii="Arial" w:hAnsi="Arial"/>
        </w:rPr>
        <w:t xml:space="preserve"> feasible. </w:t>
      </w:r>
    </w:p>
    <w:p w14:paraId="275C982C" w14:textId="6FDDEB3C" w:rsidR="00DC0820" w:rsidRDefault="00DC0820" w:rsidP="00682CF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Regarding reliability, </w:t>
      </w:r>
    </w:p>
    <w:p w14:paraId="503EA9AC" w14:textId="4864BF48" w:rsidR="00DC0820" w:rsidRPr="00DC0820" w:rsidRDefault="00DC0820" w:rsidP="00DC0820">
      <w:pPr>
        <w:pStyle w:val="ListParagraph"/>
        <w:numPr>
          <w:ilvl w:val="0"/>
          <w:numId w:val="15"/>
        </w:numPr>
        <w:jc w:val="both"/>
        <w:rPr>
          <w:rFonts w:ascii="Arial" w:hAnsi="Arial"/>
        </w:rPr>
      </w:pPr>
      <w:bookmarkStart w:id="1" w:name="_Hlk134890207"/>
      <w:r w:rsidRPr="00DC0820">
        <w:rPr>
          <w:rFonts w:ascii="Arial" w:hAnsi="Arial"/>
        </w:rPr>
        <w:lastRenderedPageBreak/>
        <w:t xml:space="preserve">UE specific DCI can be designed based on a legacy DCI, e.g., a scheduling DCI, and as such can come with </w:t>
      </w:r>
      <w:r>
        <w:rPr>
          <w:rFonts w:ascii="Arial" w:hAnsi="Arial"/>
        </w:rPr>
        <w:t xml:space="preserve">A/N </w:t>
      </w:r>
      <w:r w:rsidRPr="00DC0820">
        <w:rPr>
          <w:rFonts w:ascii="Arial" w:hAnsi="Arial"/>
        </w:rPr>
        <w:t>feedback</w:t>
      </w:r>
      <w:r>
        <w:rPr>
          <w:rFonts w:ascii="Arial" w:hAnsi="Arial"/>
        </w:rPr>
        <w:t xml:space="preserve"> which</w:t>
      </w:r>
      <w:r w:rsidRPr="00DC0820">
        <w:rPr>
          <w:rFonts w:ascii="Arial" w:hAnsi="Arial"/>
        </w:rPr>
        <w:t xml:space="preserve"> can ensure both gNB and the UE</w:t>
      </w:r>
      <w:r>
        <w:rPr>
          <w:rFonts w:ascii="Arial" w:hAnsi="Arial"/>
        </w:rPr>
        <w:t xml:space="preserve"> </w:t>
      </w:r>
      <w:r w:rsidRPr="00DC0820">
        <w:rPr>
          <w:rFonts w:ascii="Arial" w:hAnsi="Arial"/>
        </w:rPr>
        <w:t>stay aligned</w:t>
      </w:r>
      <w:r>
        <w:rPr>
          <w:rFonts w:ascii="Arial" w:hAnsi="Arial"/>
        </w:rPr>
        <w:t xml:space="preserve"> on cell DTX/DRX activation/deactivation setting</w:t>
      </w:r>
      <w:r w:rsidRPr="00DC0820">
        <w:rPr>
          <w:rFonts w:ascii="Arial" w:hAnsi="Arial"/>
        </w:rPr>
        <w:t>.</w:t>
      </w:r>
    </w:p>
    <w:bookmarkEnd w:id="1"/>
    <w:p w14:paraId="23BB4AF9" w14:textId="77777777" w:rsidR="00773755" w:rsidRPr="00773755" w:rsidRDefault="00773755" w:rsidP="00773755">
      <w:pPr>
        <w:pStyle w:val="ListParagraph"/>
        <w:numPr>
          <w:ilvl w:val="0"/>
          <w:numId w:val="15"/>
        </w:numPr>
        <w:jc w:val="both"/>
        <w:rPr>
          <w:rFonts w:ascii="Arial" w:hAnsi="Arial"/>
        </w:rPr>
      </w:pPr>
      <w:r w:rsidRPr="00773755">
        <w:rPr>
          <w:rFonts w:ascii="Arial" w:hAnsi="Arial"/>
        </w:rPr>
        <w:t xml:space="preserve">Group-common DCI which is typically designed based on a DCI 2-x design has no explicit feedback from the UE. Thus, if gNB configures GC-DCI for several UEs, and if some UEs miss the DCI, there would be misalignment between UE and gNB on cell DTX/DRX activation/deactivation setting. This can become costly as the misalignment between UE and gNB can last for a long while because the cell status change may persist for longer durations. </w:t>
      </w:r>
    </w:p>
    <w:p w14:paraId="707CA813" w14:textId="16346D81" w:rsidR="000005BE" w:rsidRDefault="00202FF6" w:rsidP="00682CF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In our </w:t>
      </w:r>
      <w:r w:rsidR="00682CF0">
        <w:rPr>
          <w:rFonts w:ascii="Arial" w:hAnsi="Arial"/>
        </w:rPr>
        <w:t xml:space="preserve">view, </w:t>
      </w:r>
      <w:r>
        <w:rPr>
          <w:rFonts w:ascii="Arial" w:hAnsi="Arial"/>
        </w:rPr>
        <w:t>f</w:t>
      </w:r>
      <w:r w:rsidR="00682CF0">
        <w:rPr>
          <w:rFonts w:ascii="Arial" w:hAnsi="Arial"/>
        </w:rPr>
        <w:t xml:space="preserve">or DCI based signaling to activate and deactivate cell DTX/DRX, the mechanism needs to be at least robust and reliable to reduce misalignments between UEs and the gNB. </w:t>
      </w:r>
      <w:r>
        <w:rPr>
          <w:rFonts w:ascii="Arial" w:hAnsi="Arial"/>
        </w:rPr>
        <w:t xml:space="preserve">Thus, if supported, such mechanisms should come with explicit A/N feedback from the UE. </w:t>
      </w:r>
    </w:p>
    <w:p w14:paraId="0EF4CB98" w14:textId="7432DF42" w:rsidR="00773755" w:rsidRDefault="00773755" w:rsidP="00773755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Thus, it is proposed to </w:t>
      </w:r>
      <w:r w:rsidR="00904C27">
        <w:rPr>
          <w:rFonts w:ascii="Arial" w:hAnsi="Arial"/>
        </w:rPr>
        <w:t>reflect the following in</w:t>
      </w:r>
      <w:r>
        <w:rPr>
          <w:rFonts w:ascii="Arial" w:hAnsi="Arial"/>
        </w:rPr>
        <w:t xml:space="preserve"> response to RAN2</w:t>
      </w:r>
      <w:r w:rsidR="00DC2AB8">
        <w:rPr>
          <w:rFonts w:ascii="Arial" w:hAnsi="Arial"/>
        </w:rPr>
        <w:t xml:space="preserve"> (in addition to the working assumption on feasibility)</w:t>
      </w:r>
      <w:r>
        <w:rPr>
          <w:rFonts w:ascii="Arial" w:hAnsi="Arial"/>
        </w:rPr>
        <w:t>.</w:t>
      </w:r>
    </w:p>
    <w:p w14:paraId="43F8F9A3" w14:textId="5BE302BD" w:rsidR="000005BE" w:rsidRPr="00125E46" w:rsidRDefault="000005BE" w:rsidP="00125E46">
      <w:pPr>
        <w:pStyle w:val="Observation"/>
        <w:numPr>
          <w:ilvl w:val="0"/>
          <w:numId w:val="8"/>
        </w:numPr>
        <w:spacing w:line="256" w:lineRule="auto"/>
        <w:ind w:left="1701" w:hanging="1701"/>
        <w:rPr>
          <w:rFonts w:cs="Arial"/>
        </w:rPr>
      </w:pPr>
      <w:bookmarkStart w:id="2" w:name="_Toc134996665"/>
      <w:bookmarkStart w:id="3" w:name="_Hlk134891416"/>
      <w:r>
        <w:rPr>
          <w:rFonts w:cs="Arial"/>
        </w:rPr>
        <w:t xml:space="preserve">UE specific DCI indication for cell DTX/DRX activation/deactivation is </w:t>
      </w:r>
      <w:r w:rsidR="00125E46">
        <w:rPr>
          <w:rFonts w:cs="Arial"/>
        </w:rPr>
        <w:t>reliable/robust</w:t>
      </w:r>
      <w:r>
        <w:rPr>
          <w:rFonts w:cs="Arial"/>
        </w:rPr>
        <w:t xml:space="preserve"> since UE can provide feedback</w:t>
      </w:r>
      <w:r w:rsidR="007E74CB">
        <w:rPr>
          <w:rFonts w:cs="Arial"/>
        </w:rPr>
        <w:t>.</w:t>
      </w:r>
      <w:bookmarkEnd w:id="2"/>
    </w:p>
    <w:p w14:paraId="740FC6CB" w14:textId="586686EB" w:rsidR="000005BE" w:rsidRDefault="000005BE" w:rsidP="00125E46">
      <w:pPr>
        <w:pStyle w:val="Observation"/>
        <w:numPr>
          <w:ilvl w:val="0"/>
          <w:numId w:val="8"/>
        </w:numPr>
        <w:spacing w:line="256" w:lineRule="auto"/>
        <w:ind w:left="1701" w:hanging="1701"/>
        <w:rPr>
          <w:rFonts w:cs="Arial"/>
        </w:rPr>
      </w:pPr>
      <w:bookmarkStart w:id="4" w:name="_Toc134996666"/>
      <w:r>
        <w:rPr>
          <w:rFonts w:cs="Arial"/>
        </w:rPr>
        <w:t>Group-common DCI indication for cell DTX/DRX activation/deactivation may not be reliable</w:t>
      </w:r>
      <w:r w:rsidR="00125E46">
        <w:rPr>
          <w:rFonts w:cs="Arial"/>
        </w:rPr>
        <w:t>/</w:t>
      </w:r>
      <w:r w:rsidR="003D1F3B">
        <w:rPr>
          <w:rFonts w:cs="Arial"/>
        </w:rPr>
        <w:t>robust</w:t>
      </w:r>
      <w:r>
        <w:rPr>
          <w:rFonts w:cs="Arial"/>
        </w:rPr>
        <w:t xml:space="preserve"> due to absence of feedback from UE, leading to misaligned cell DTX/DRX </w:t>
      </w:r>
      <w:r w:rsidR="00125E46">
        <w:rPr>
          <w:rFonts w:cs="Arial"/>
        </w:rPr>
        <w:t xml:space="preserve">activation/deactivation </w:t>
      </w:r>
      <w:r>
        <w:rPr>
          <w:rFonts w:cs="Arial"/>
        </w:rPr>
        <w:t>assumption between UE and gNB.</w:t>
      </w:r>
      <w:bookmarkEnd w:id="4"/>
    </w:p>
    <w:p w14:paraId="58977478" w14:textId="0C6D3EE8" w:rsidR="00B77532" w:rsidRDefault="00B77532" w:rsidP="00B77532">
      <w:pPr>
        <w:pStyle w:val="Observation"/>
        <w:numPr>
          <w:ilvl w:val="0"/>
          <w:numId w:val="8"/>
        </w:numPr>
        <w:spacing w:line="256" w:lineRule="auto"/>
        <w:ind w:left="1701" w:hanging="1701"/>
        <w:rPr>
          <w:rFonts w:cs="Arial"/>
        </w:rPr>
      </w:pPr>
      <w:bookmarkStart w:id="5" w:name="_Toc134996667"/>
      <w:bookmarkEnd w:id="3"/>
      <w:r>
        <w:rPr>
          <w:rFonts w:cs="Arial"/>
        </w:rPr>
        <w:t xml:space="preserve">From RAN1 perspective, DCI indication for cell DTX/DRX activation/deactivation with </w:t>
      </w:r>
      <w:r w:rsidR="0065350D">
        <w:rPr>
          <w:rFonts w:cs="Arial"/>
        </w:rPr>
        <w:t xml:space="preserve">UE </w:t>
      </w:r>
      <w:r>
        <w:rPr>
          <w:rFonts w:cs="Arial"/>
        </w:rPr>
        <w:t>feedback would be feasible and reliable.</w:t>
      </w:r>
      <w:bookmarkEnd w:id="5"/>
    </w:p>
    <w:p w14:paraId="4BC027FB" w14:textId="1CED4863" w:rsidR="00773755" w:rsidRPr="00773755" w:rsidRDefault="00773755" w:rsidP="00773755">
      <w:pPr>
        <w:jc w:val="both"/>
        <w:rPr>
          <w:rFonts w:ascii="Arial" w:hAnsi="Arial"/>
        </w:rPr>
      </w:pPr>
      <w:r w:rsidRPr="00773755">
        <w:rPr>
          <w:rFonts w:ascii="Arial" w:hAnsi="Arial"/>
        </w:rPr>
        <w:t xml:space="preserve">Regarding other question from RAN2, RAN1 can provide information to RAN2 </w:t>
      </w:r>
      <w:r w:rsidR="00C122B4">
        <w:rPr>
          <w:rFonts w:ascii="Arial" w:hAnsi="Arial"/>
        </w:rPr>
        <w:t>after making</w:t>
      </w:r>
      <w:r w:rsidRPr="00773755">
        <w:rPr>
          <w:rFonts w:ascii="Arial" w:hAnsi="Arial"/>
        </w:rPr>
        <w:t xml:space="preserve"> further RAN1 agreements</w:t>
      </w:r>
      <w:r>
        <w:rPr>
          <w:rFonts w:ascii="Arial" w:hAnsi="Arial"/>
        </w:rPr>
        <w:t>.</w:t>
      </w:r>
    </w:p>
    <w:p w14:paraId="4D796A1C" w14:textId="77777777" w:rsidR="00682CF0" w:rsidRPr="00AA3123" w:rsidRDefault="00682CF0" w:rsidP="00682CF0">
      <w:pPr>
        <w:pStyle w:val="Heading1"/>
        <w:numPr>
          <w:ilvl w:val="0"/>
          <w:numId w:val="0"/>
        </w:numPr>
        <w:rPr>
          <w:lang w:val="en-US"/>
        </w:rPr>
      </w:pPr>
      <w:bookmarkStart w:id="6" w:name="_Toc126919184"/>
      <w:bookmarkStart w:id="7" w:name="_Toc126919185"/>
      <w:bookmarkStart w:id="8" w:name="_Toc126919186"/>
      <w:bookmarkStart w:id="9" w:name="_Toc126919202"/>
      <w:bookmarkStart w:id="10" w:name="_Toc126919220"/>
      <w:bookmarkStart w:id="11" w:name="_Toc126919231"/>
      <w:bookmarkStart w:id="12" w:name="_Toc126919252"/>
      <w:bookmarkStart w:id="13" w:name="_Toc126919261"/>
      <w:bookmarkStart w:id="14" w:name="_Toc126919276"/>
      <w:bookmarkStart w:id="15" w:name="_Toc126919278"/>
      <w:bookmarkStart w:id="16" w:name="_Toc126919280"/>
      <w:bookmarkStart w:id="17" w:name="_Toc126919292"/>
      <w:bookmarkStart w:id="18" w:name="_Toc126919303"/>
      <w:bookmarkStart w:id="19" w:name="_Toc126919309"/>
      <w:bookmarkStart w:id="20" w:name="_Toc126919310"/>
      <w:bookmarkStart w:id="21" w:name="_Toc126919311"/>
      <w:bookmarkStart w:id="22" w:name="_Toc126919313"/>
      <w:bookmarkStart w:id="23" w:name="_Toc126919316"/>
      <w:bookmarkStart w:id="24" w:name="_Toc126919318"/>
      <w:bookmarkStart w:id="25" w:name="_Toc126919346"/>
      <w:bookmarkStart w:id="26" w:name="_Toc126919354"/>
      <w:bookmarkStart w:id="27" w:name="_Toc12691935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lang w:val="en-US"/>
        </w:rPr>
        <w:t>3</w:t>
      </w:r>
      <w:r w:rsidRPr="00AA3123">
        <w:rPr>
          <w:lang w:val="en-US"/>
        </w:rPr>
        <w:tab/>
        <w:t>Conclusion</w:t>
      </w:r>
    </w:p>
    <w:p w14:paraId="45E8968D" w14:textId="0497738B" w:rsidR="00682CF0" w:rsidRDefault="00682CF0" w:rsidP="00682CF0">
      <w:pPr>
        <w:pStyle w:val="BodyText"/>
        <w:rPr>
          <w:b/>
          <w:bCs/>
        </w:rPr>
      </w:pPr>
      <w:r>
        <w:t>In the previous sections</w:t>
      </w:r>
      <w:r w:rsidRPr="00CE0424">
        <w:t xml:space="preserve"> </w:t>
      </w:r>
      <w:r w:rsidR="00904C27">
        <w:t xml:space="preserve">we discuss the input to RAN2 LS and suggest </w:t>
      </w:r>
      <w:r w:rsidR="00656E07">
        <w:t>reflecting</w:t>
      </w:r>
      <w:r w:rsidR="00904C27">
        <w:t xml:space="preserve"> the following in responding to RAN2</w:t>
      </w:r>
      <w:r w:rsidR="00DC2AB8">
        <w:t xml:space="preserve"> (in addition to the working assumption regarding feasibility)</w:t>
      </w:r>
      <w:r w:rsidRPr="00CE0424">
        <w:t>:</w:t>
      </w:r>
      <w:r>
        <w:rPr>
          <w:b/>
          <w:bCs/>
        </w:rPr>
        <w:t xml:space="preserve"> </w:t>
      </w:r>
    </w:p>
    <w:p w14:paraId="0F90CD75" w14:textId="4FF1E5C2" w:rsidR="00DC2AB8" w:rsidRDefault="00682CF0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>
        <w:rPr>
          <w:b w:val="0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</w:rPr>
        <w:fldChar w:fldCharType="separate"/>
      </w:r>
      <w:hyperlink w:anchor="_Toc134996665" w:history="1">
        <w:r w:rsidR="00DC2AB8" w:rsidRPr="00BD44DD">
          <w:rPr>
            <w:rStyle w:val="Hyperlink"/>
            <w:rFonts w:cs="Arial"/>
            <w:noProof/>
          </w:rPr>
          <w:t>Observation 1</w:t>
        </w:r>
        <w:r w:rsidR="00DC2AB8">
          <w:rPr>
            <w:rFonts w:asciiTheme="minorHAnsi" w:hAnsiTheme="minorHAnsi"/>
            <w:b w:val="0"/>
            <w:noProof/>
          </w:rPr>
          <w:tab/>
        </w:r>
        <w:r w:rsidR="00DC2AB8" w:rsidRPr="00BD44DD">
          <w:rPr>
            <w:rStyle w:val="Hyperlink"/>
            <w:rFonts w:cs="Arial"/>
            <w:noProof/>
          </w:rPr>
          <w:t>UE specific DCI indication for cell DTX/DRX activation/deactivation is reliable/robust since UE can provide feedback.</w:t>
        </w:r>
      </w:hyperlink>
    </w:p>
    <w:p w14:paraId="4126B7D4" w14:textId="6864FD94" w:rsidR="00DC2AB8" w:rsidRDefault="00244717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4996666" w:history="1">
        <w:r w:rsidR="00DC2AB8" w:rsidRPr="00BD44DD">
          <w:rPr>
            <w:rStyle w:val="Hyperlink"/>
            <w:rFonts w:cs="Arial"/>
            <w:noProof/>
          </w:rPr>
          <w:t>Observation 2</w:t>
        </w:r>
        <w:r w:rsidR="00DC2AB8">
          <w:rPr>
            <w:rFonts w:asciiTheme="minorHAnsi" w:hAnsiTheme="minorHAnsi"/>
            <w:b w:val="0"/>
            <w:noProof/>
          </w:rPr>
          <w:tab/>
        </w:r>
        <w:r w:rsidR="00DC2AB8" w:rsidRPr="00BD44DD">
          <w:rPr>
            <w:rStyle w:val="Hyperlink"/>
            <w:rFonts w:cs="Arial"/>
            <w:noProof/>
          </w:rPr>
          <w:t>Group-common DCI indication for cell DTX/DRX activation/deactivation may not be reliable/robust due to absence of feedback from UE, leading to misaligned cell DTX/DRX activation/deactivation assumption between UE and gNB.</w:t>
        </w:r>
      </w:hyperlink>
    </w:p>
    <w:p w14:paraId="05670DF2" w14:textId="763156FE" w:rsidR="00DC2AB8" w:rsidRDefault="00244717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34996667" w:history="1">
        <w:r w:rsidR="00DC2AB8" w:rsidRPr="00BD44DD">
          <w:rPr>
            <w:rStyle w:val="Hyperlink"/>
            <w:rFonts w:cs="Arial"/>
            <w:noProof/>
          </w:rPr>
          <w:t>Observation 3</w:t>
        </w:r>
        <w:r w:rsidR="00DC2AB8">
          <w:rPr>
            <w:rFonts w:asciiTheme="minorHAnsi" w:hAnsiTheme="minorHAnsi"/>
            <w:b w:val="0"/>
            <w:noProof/>
          </w:rPr>
          <w:tab/>
        </w:r>
        <w:r w:rsidR="00DC2AB8" w:rsidRPr="00BD44DD">
          <w:rPr>
            <w:rStyle w:val="Hyperlink"/>
            <w:rFonts w:cs="Arial"/>
            <w:noProof/>
          </w:rPr>
          <w:t>From RAN1 perspective, DCI indication for cell DTX/DRX activation/deactivation with UE feedback would be feasible and reliable.</w:t>
        </w:r>
      </w:hyperlink>
    </w:p>
    <w:p w14:paraId="41D35C36" w14:textId="5D8EACCB" w:rsidR="00682CF0" w:rsidRDefault="00682CF0" w:rsidP="00682CF0">
      <w:pPr>
        <w:pStyle w:val="BodyText"/>
      </w:pPr>
      <w:r>
        <w:rPr>
          <w:b/>
          <w:bCs/>
        </w:rPr>
        <w:fldChar w:fldCharType="end"/>
      </w:r>
    </w:p>
    <w:p w14:paraId="668FB2F4" w14:textId="77777777" w:rsidR="00682CF0" w:rsidRPr="00937ADF" w:rsidRDefault="00682CF0" w:rsidP="00682C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3F3EEB02" w14:textId="709878DA" w:rsidR="00682CF0" w:rsidRPr="000E262C" w:rsidRDefault="00682CF0" w:rsidP="00682CF0">
      <w:pPr>
        <w:pStyle w:val="List2"/>
        <w:tabs>
          <w:tab w:val="clear" w:pos="2041"/>
          <w:tab w:val="num" w:pos="993"/>
        </w:tabs>
        <w:ind w:left="426" w:hanging="426"/>
        <w:rPr>
          <w:lang w:val="en-US"/>
        </w:rPr>
      </w:pPr>
      <w:r w:rsidRPr="000E262C">
        <w:rPr>
          <w:lang w:val="en-US"/>
        </w:rPr>
        <w:t>R1-2304334</w:t>
      </w:r>
      <w:r w:rsidRPr="000E262C">
        <w:rPr>
          <w:lang w:val="en-US"/>
        </w:rPr>
        <w:tab/>
        <w:t>LS on Cell DTX/DRX activation/deactivation</w:t>
      </w:r>
      <w:r w:rsidRPr="000E262C">
        <w:rPr>
          <w:lang w:val="en-US"/>
        </w:rPr>
        <w:tab/>
        <w:t>RAN2</w:t>
      </w:r>
      <w:r>
        <w:rPr>
          <w:lang w:val="en-US"/>
        </w:rPr>
        <w:t>, RAN1#113, Incheon, May 2023</w:t>
      </w:r>
    </w:p>
    <w:p w14:paraId="6BCA8304" w14:textId="77777777" w:rsidR="00682CF0" w:rsidRPr="007C1F04" w:rsidRDefault="00682CF0" w:rsidP="00682CF0">
      <w:pPr>
        <w:pStyle w:val="List2"/>
        <w:numPr>
          <w:ilvl w:val="0"/>
          <w:numId w:val="0"/>
        </w:numPr>
        <w:ind w:left="426"/>
        <w:rPr>
          <w:u w:val="single"/>
          <w:lang w:val="en-US"/>
        </w:rPr>
      </w:pPr>
      <w:bookmarkStart w:id="28" w:name="_Toc127532105"/>
      <w:bookmarkStart w:id="29" w:name="_Toc127532122"/>
      <w:bookmarkStart w:id="30" w:name="_Toc127535289"/>
      <w:bookmarkStart w:id="31" w:name="_Toc127532106"/>
      <w:bookmarkStart w:id="32" w:name="_Toc127532123"/>
      <w:bookmarkStart w:id="33" w:name="_Toc127535290"/>
      <w:bookmarkStart w:id="34" w:name="_Toc131706776"/>
      <w:bookmarkStart w:id="35" w:name="_Toc127461249"/>
      <w:bookmarkStart w:id="36" w:name="_Toc127461819"/>
      <w:bookmarkStart w:id="37" w:name="_Toc115188011"/>
      <w:bookmarkStart w:id="38" w:name="_Toc115188909"/>
      <w:bookmarkStart w:id="39" w:name="_Toc115188943"/>
      <w:bookmarkStart w:id="40" w:name="_Toc115188964"/>
      <w:bookmarkStart w:id="41" w:name="_Toc115188990"/>
      <w:bookmarkStart w:id="42" w:name="_Toc115189028"/>
      <w:bookmarkStart w:id="43" w:name="_Toc115196591"/>
      <w:bookmarkStart w:id="44" w:name="_Toc131706783"/>
      <w:bookmarkStart w:id="45" w:name="_Toc131706793"/>
      <w:bookmarkStart w:id="46" w:name="_Ref3164635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0"/>
    <w:bookmarkEnd w:id="46"/>
    <w:p w14:paraId="0A5FB752" w14:textId="31CFC3E9" w:rsidR="00751C98" w:rsidRDefault="00751C98"/>
    <w:sectPr w:rsidR="00751C98" w:rsidSect="00D4660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992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F22C" w14:textId="77777777" w:rsidR="009C76F6" w:rsidRDefault="00DC25B5">
      <w:pPr>
        <w:spacing w:after="0" w:line="240" w:lineRule="auto"/>
      </w:pPr>
      <w:r>
        <w:separator/>
      </w:r>
    </w:p>
  </w:endnote>
  <w:endnote w:type="continuationSeparator" w:id="0">
    <w:p w14:paraId="39DAE7B3" w14:textId="77777777" w:rsidR="009C76F6" w:rsidRDefault="00DC2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9001" w14:textId="77777777" w:rsidR="00D46602" w:rsidRDefault="0065350D" w:rsidP="00D466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9339" w14:textId="77777777" w:rsidR="009C76F6" w:rsidRDefault="00DC25B5">
      <w:pPr>
        <w:spacing w:after="0" w:line="240" w:lineRule="auto"/>
      </w:pPr>
      <w:r>
        <w:separator/>
      </w:r>
    </w:p>
  </w:footnote>
  <w:footnote w:type="continuationSeparator" w:id="0">
    <w:p w14:paraId="7AE5B75C" w14:textId="77777777" w:rsidR="009C76F6" w:rsidRDefault="00DC2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07CCF" w14:textId="77777777" w:rsidR="00D46602" w:rsidRDefault="0065350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7753085"/>
    <w:multiLevelType w:val="hybridMultilevel"/>
    <w:tmpl w:val="19622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8D0E3E6"/>
    <w:lvl w:ilvl="0" w:tplc="7E307F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101505E"/>
    <w:multiLevelType w:val="hybridMultilevel"/>
    <w:tmpl w:val="71A08DEC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55D83"/>
    <w:multiLevelType w:val="hybridMultilevel"/>
    <w:tmpl w:val="74A42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C03D5"/>
    <w:multiLevelType w:val="hybridMultilevel"/>
    <w:tmpl w:val="37202234"/>
    <w:lvl w:ilvl="0" w:tplc="615C8C3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2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8648680">
    <w:abstractNumId w:val="4"/>
  </w:num>
  <w:num w:numId="2" w16cid:durableId="75060180">
    <w:abstractNumId w:val="6"/>
  </w:num>
  <w:num w:numId="3" w16cid:durableId="747574397">
    <w:abstractNumId w:val="2"/>
  </w:num>
  <w:num w:numId="4" w16cid:durableId="725763520">
    <w:abstractNumId w:val="12"/>
  </w:num>
  <w:num w:numId="5" w16cid:durableId="676081044">
    <w:abstractNumId w:val="10"/>
  </w:num>
  <w:num w:numId="6" w16cid:durableId="970357834">
    <w:abstractNumId w:val="11"/>
  </w:num>
  <w:num w:numId="7" w16cid:durableId="365713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3626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9813444">
    <w:abstractNumId w:val="7"/>
  </w:num>
  <w:num w:numId="10" w16cid:durableId="325010748">
    <w:abstractNumId w:val="5"/>
  </w:num>
  <w:num w:numId="11" w16cid:durableId="1172839051">
    <w:abstractNumId w:val="8"/>
  </w:num>
  <w:num w:numId="12" w16cid:durableId="1806659361">
    <w:abstractNumId w:val="9"/>
  </w:num>
  <w:num w:numId="13" w16cid:durableId="173500455">
    <w:abstractNumId w:val="0"/>
  </w:num>
  <w:num w:numId="14" w16cid:durableId="1670987365">
    <w:abstractNumId w:val="1"/>
  </w:num>
  <w:num w:numId="15" w16cid:durableId="1285119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CF0"/>
    <w:rsid w:val="000005BE"/>
    <w:rsid w:val="000312E3"/>
    <w:rsid w:val="00090413"/>
    <w:rsid w:val="00125E46"/>
    <w:rsid w:val="00202FF6"/>
    <w:rsid w:val="00244717"/>
    <w:rsid w:val="00356508"/>
    <w:rsid w:val="003D1F3B"/>
    <w:rsid w:val="004E56E3"/>
    <w:rsid w:val="005A1E0C"/>
    <w:rsid w:val="005C79B6"/>
    <w:rsid w:val="0065350D"/>
    <w:rsid w:val="00656E07"/>
    <w:rsid w:val="00656F0C"/>
    <w:rsid w:val="00682CF0"/>
    <w:rsid w:val="00686DA8"/>
    <w:rsid w:val="006B0C04"/>
    <w:rsid w:val="006C6030"/>
    <w:rsid w:val="00751C98"/>
    <w:rsid w:val="00773755"/>
    <w:rsid w:val="007E74CB"/>
    <w:rsid w:val="00904C27"/>
    <w:rsid w:val="009C76F6"/>
    <w:rsid w:val="00A3507A"/>
    <w:rsid w:val="00B23BD9"/>
    <w:rsid w:val="00B77532"/>
    <w:rsid w:val="00C122B4"/>
    <w:rsid w:val="00D54918"/>
    <w:rsid w:val="00DC0820"/>
    <w:rsid w:val="00DC25B5"/>
    <w:rsid w:val="00DC2AB8"/>
    <w:rsid w:val="00E5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232F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CF0"/>
    <w:rPr>
      <w:rFonts w:eastAsiaTheme="minorEastAsia"/>
    </w:rPr>
  </w:style>
  <w:style w:type="paragraph" w:styleId="Heading1">
    <w:name w:val="heading 1"/>
    <w:next w:val="Normal"/>
    <w:link w:val="Heading1Char"/>
    <w:qFormat/>
    <w:rsid w:val="00682CF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2CF0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2CF0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2CF0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2CF0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2CF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2CF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2CF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2CF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2CF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2C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82CF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82CF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2CF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2CF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2CF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2C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2C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682C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682CF0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82CF0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682CF0"/>
  </w:style>
  <w:style w:type="paragraph" w:styleId="BodyText">
    <w:name w:val="Body Text"/>
    <w:basedOn w:val="Normal"/>
    <w:link w:val="BodyTextChar"/>
    <w:uiPriority w:val="99"/>
    <w:qFormat/>
    <w:rsid w:val="00682CF0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682CF0"/>
    <w:rPr>
      <w:rFonts w:ascii="Arial" w:eastAsiaTheme="minorEastAsia" w:hAnsi="Arial"/>
    </w:rPr>
  </w:style>
  <w:style w:type="character" w:styleId="Hyperlink">
    <w:name w:val="Hyperlink"/>
    <w:uiPriority w:val="99"/>
    <w:qFormat/>
    <w:rsid w:val="00682CF0"/>
    <w:rPr>
      <w:color w:val="0000FF"/>
      <w:u w:val="single"/>
    </w:rPr>
  </w:style>
  <w:style w:type="paragraph" w:customStyle="1" w:styleId="Proposal">
    <w:name w:val="Proposal"/>
    <w:basedOn w:val="BodyText"/>
    <w:qFormat/>
    <w:rsid w:val="00682CF0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682CF0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82CF0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682CF0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682CF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682CF0"/>
    <w:rPr>
      <w:rFonts w:eastAsiaTheme="minorEastAsia"/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82CF0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682C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2CF0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2CF0"/>
    <w:rPr>
      <w:sz w:val="20"/>
      <w:szCs w:val="2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682CF0"/>
  </w:style>
  <w:style w:type="paragraph" w:styleId="Header">
    <w:name w:val="header"/>
    <w:basedOn w:val="Normal"/>
    <w:link w:val="HeaderChar"/>
    <w:uiPriority w:val="99"/>
    <w:unhideWhenUsed/>
    <w:rsid w:val="00682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CF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61355C-82F2-41D9-9F11-24C658D3E0D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0524CE1-BAED-476C-BBCD-93D786F14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015CE-EFA0-48C6-AEBB-954362BD9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2023-05-15T05:52:00Z</dcterms:created>
  <dcterms:modified xsi:type="dcterms:W3CDTF">2023-05-15T06:04:00Z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